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458E" w14:textId="77777777" w:rsidR="00D274C9" w:rsidRDefault="00D274C9" w:rsidP="003233F0">
      <w:pPr>
        <w:rPr>
          <w:b/>
          <w:bCs/>
        </w:rPr>
      </w:pPr>
      <w:r>
        <w:rPr>
          <w:b/>
          <w:bCs/>
        </w:rPr>
        <w:t>Worshipful Company of Tax Advisers</w:t>
      </w:r>
    </w:p>
    <w:p w14:paraId="74B317B4" w14:textId="77777777" w:rsidR="00D274C9" w:rsidRDefault="00D274C9" w:rsidP="003233F0">
      <w:pPr>
        <w:rPr>
          <w:b/>
          <w:bCs/>
        </w:rPr>
      </w:pPr>
      <w:r>
        <w:rPr>
          <w:b/>
          <w:bCs/>
        </w:rPr>
        <w:t>History of Tax lectures</w:t>
      </w:r>
    </w:p>
    <w:p w14:paraId="1F9AAF1E" w14:textId="3A589E06" w:rsidR="003233F0" w:rsidRDefault="003233F0" w:rsidP="003233F0">
      <w:pPr>
        <w:rPr>
          <w:b/>
          <w:bCs/>
        </w:rPr>
      </w:pPr>
      <w:r>
        <w:rPr>
          <w:b/>
          <w:bCs/>
        </w:rPr>
        <w:t xml:space="preserve">The Origin of the </w:t>
      </w:r>
      <w:r w:rsidRPr="00911B2E">
        <w:rPr>
          <w:b/>
          <w:bCs/>
        </w:rPr>
        <w:t>CGT Exemption f</w:t>
      </w:r>
      <w:r>
        <w:rPr>
          <w:b/>
          <w:bCs/>
        </w:rPr>
        <w:t>or the Home</w:t>
      </w:r>
    </w:p>
    <w:p w14:paraId="0C3CE333" w14:textId="25A8ED8C" w:rsidR="003233F0" w:rsidRDefault="00D274C9" w:rsidP="003233F0">
      <w:r>
        <w:t xml:space="preserve">Talk by </w:t>
      </w:r>
      <w:r w:rsidR="003233F0">
        <w:t>David Collison</w:t>
      </w:r>
      <w:r>
        <w:t>, 14 October 2025</w:t>
      </w:r>
    </w:p>
    <w:p w14:paraId="69C116C1" w14:textId="77777777" w:rsidR="00D274C9" w:rsidRDefault="00D274C9" w:rsidP="003233F0"/>
    <w:p w14:paraId="32481632" w14:textId="77777777" w:rsidR="00D274C9" w:rsidRDefault="00D274C9" w:rsidP="003233F0"/>
    <w:p w14:paraId="0EF4489B" w14:textId="214F674F" w:rsidR="00D274C9" w:rsidRPr="00D274C9" w:rsidRDefault="00D274C9" w:rsidP="003233F0">
      <w:pPr>
        <w:rPr>
          <w:b/>
          <w:bCs/>
        </w:rPr>
      </w:pPr>
      <w:r>
        <w:rPr>
          <w:b/>
          <w:bCs/>
        </w:rPr>
        <w:t>Short summary of David’s talk</w:t>
      </w:r>
    </w:p>
    <w:p w14:paraId="16E4D214" w14:textId="77777777" w:rsidR="003233F0" w:rsidRDefault="003233F0" w:rsidP="003233F0"/>
    <w:p w14:paraId="19630F3B" w14:textId="6493FCD3" w:rsidR="00D274C9" w:rsidRPr="00D274C9" w:rsidRDefault="00D274C9" w:rsidP="002B1A82">
      <w:pPr>
        <w:pStyle w:val="NoSpacing"/>
        <w:rPr>
          <w:b/>
          <w:bCs/>
          <w:i/>
          <w:iCs/>
        </w:rPr>
      </w:pPr>
      <w:r w:rsidRPr="00D274C9">
        <w:rPr>
          <w:b/>
          <w:bCs/>
          <w:i/>
          <w:iCs/>
        </w:rPr>
        <w:t>Preamble</w:t>
      </w:r>
    </w:p>
    <w:p w14:paraId="728C8984" w14:textId="77777777" w:rsidR="00D274C9" w:rsidRDefault="002B1A82" w:rsidP="002B1A82">
      <w:pPr>
        <w:pStyle w:val="NoSpacing"/>
      </w:pPr>
      <w:r w:rsidRPr="002B1A82">
        <w:t xml:space="preserve">The General Election of </w:t>
      </w:r>
      <w:r w:rsidR="004909B6">
        <w:t>15</w:t>
      </w:r>
      <w:r w:rsidRPr="002B1A82">
        <w:t xml:space="preserve"> October 1964 gave rise to a</w:t>
      </w:r>
      <w:r>
        <w:t xml:space="preserve"> partnership </w:t>
      </w:r>
      <w:r w:rsidRPr="002B1A82">
        <w:t xml:space="preserve">at the head of government that </w:t>
      </w:r>
      <w:r>
        <w:t>is</w:t>
      </w:r>
      <w:r w:rsidRPr="002B1A82">
        <w:t xml:space="preserve"> unique in British </w:t>
      </w:r>
      <w:r>
        <w:t xml:space="preserve">history. </w:t>
      </w:r>
      <w:r w:rsidR="00D274C9">
        <w:t>Harold Wilson, t</w:t>
      </w:r>
      <w:r>
        <w:t xml:space="preserve">he </w:t>
      </w:r>
      <w:r w:rsidR="00D274C9">
        <w:t xml:space="preserve">incoming </w:t>
      </w:r>
      <w:r>
        <w:t>Prime Minister</w:t>
      </w:r>
      <w:r w:rsidR="00D274C9">
        <w:t>,</w:t>
      </w:r>
      <w:r>
        <w:t xml:space="preserve"> was a former university lecturer in Economics</w:t>
      </w:r>
      <w:r w:rsidR="00D274C9">
        <w:t>. He appointed Jim Callaghan</w:t>
      </w:r>
      <w:r>
        <w:t xml:space="preserve"> a</w:t>
      </w:r>
      <w:r w:rsidR="00D274C9">
        <w:t>s</w:t>
      </w:r>
      <w:r>
        <w:t xml:space="preserve"> his Chancellor of the Exchequer</w:t>
      </w:r>
      <w:r w:rsidR="00D274C9">
        <w:t>. Callaghan</w:t>
      </w:r>
      <w:r>
        <w:t xml:space="preserve"> had served for </w:t>
      </w:r>
      <w:r w:rsidR="00357E37">
        <w:t>1</w:t>
      </w:r>
      <w:r>
        <w:t>6 years as an Inland Revenue Inspector of Taxes.</w:t>
      </w:r>
    </w:p>
    <w:p w14:paraId="3C7B6574" w14:textId="77777777" w:rsidR="00D274C9" w:rsidRDefault="00D274C9" w:rsidP="002B1A82">
      <w:pPr>
        <w:pStyle w:val="NoSpacing"/>
      </w:pPr>
    </w:p>
    <w:p w14:paraId="20AF76AB" w14:textId="3C785648" w:rsidR="00C770A2" w:rsidRDefault="00D274C9" w:rsidP="002B1A82">
      <w:pPr>
        <w:pStyle w:val="NoSpacing"/>
      </w:pPr>
      <w:r>
        <w:t>T</w:t>
      </w:r>
      <w:r w:rsidR="00DF3D0D">
        <w:t>he 1965 Finance Bill created a comprehensive tax on gains of capital.</w:t>
      </w:r>
      <w:r>
        <w:t xml:space="preserve"> </w:t>
      </w:r>
      <w:r w:rsidR="00DF3D0D">
        <w:t xml:space="preserve">Except, the newly-created 1965 Capital Gains Tax was not comprehensive. It did not tax the gain made on the sale of the home and it still does not. Why was that </w:t>
      </w:r>
      <w:r w:rsidR="00DD49CF">
        <w:t xml:space="preserve">gain </w:t>
      </w:r>
      <w:r w:rsidR="00DF3D0D">
        <w:t>excluded? That is the subject of my talk today.</w:t>
      </w:r>
    </w:p>
    <w:p w14:paraId="48E513F2" w14:textId="77777777" w:rsidR="00C556FC" w:rsidRDefault="00C556FC" w:rsidP="002B1A82">
      <w:pPr>
        <w:pStyle w:val="NoSpacing"/>
      </w:pPr>
    </w:p>
    <w:p w14:paraId="5434BA25" w14:textId="6F92CCDD" w:rsidR="00C556FC" w:rsidRDefault="00C556FC" w:rsidP="00C556FC">
      <w:pPr>
        <w:pStyle w:val="NoSpacing"/>
      </w:pPr>
      <w:r>
        <w:t xml:space="preserve">The UK exemption was identified as anomalous by John Tiley, who wrote in his 1976 first edition of </w:t>
      </w:r>
      <w:r>
        <w:rPr>
          <w:i/>
          <w:iCs/>
        </w:rPr>
        <w:t>Tiley Revenue Law</w:t>
      </w:r>
      <w:r>
        <w:t>:</w:t>
      </w:r>
    </w:p>
    <w:p w14:paraId="05D5ED9E" w14:textId="77777777" w:rsidR="00C556FC" w:rsidRPr="00CF4344" w:rsidRDefault="00C556FC" w:rsidP="00C556FC">
      <w:pPr>
        <w:pStyle w:val="NoSpacing"/>
        <w:ind w:left="567" w:right="828"/>
        <w:jc w:val="both"/>
      </w:pPr>
      <w:r>
        <w:t>“The exemption of main private residences is primarily a political decision. There are no technical reasons for the exemption which may be seen as one more encouragement to put one’s wealth into that idle asset, the family home.”</w:t>
      </w:r>
    </w:p>
    <w:p w14:paraId="4F0CA7F5" w14:textId="77777777" w:rsidR="00C556FC" w:rsidRDefault="00C556FC" w:rsidP="002B1A82">
      <w:pPr>
        <w:pStyle w:val="NoSpacing"/>
      </w:pPr>
    </w:p>
    <w:p w14:paraId="42BAD041" w14:textId="61432526" w:rsidR="00C556FC" w:rsidRDefault="00C556FC" w:rsidP="00C556FC">
      <w:pPr>
        <w:pStyle w:val="NoSpacing"/>
        <w:rPr>
          <w:rFonts w:cs="Times New Roman"/>
        </w:rPr>
      </w:pPr>
      <w:r>
        <w:t xml:space="preserve">Those who first proposed to tax a capital gain expected the tax to apply to the home. </w:t>
      </w:r>
      <w:r w:rsidR="00D274C9">
        <w:t xml:space="preserve">The 1920 Inland Revenue </w:t>
      </w:r>
      <w:r>
        <w:t>Departmental Committee on New Taxation</w:t>
      </w:r>
      <w:r w:rsidR="00D274C9">
        <w:t xml:space="preserve"> </w:t>
      </w:r>
      <w:r>
        <w:rPr>
          <w:rFonts w:cs="Times New Roman"/>
          <w:szCs w:val="24"/>
        </w:rPr>
        <w:t>s</w:t>
      </w:r>
      <w:r w:rsidRPr="00244EC8">
        <w:rPr>
          <w:rFonts w:cs="Times New Roman"/>
          <w:szCs w:val="24"/>
        </w:rPr>
        <w:t>uggests</w:t>
      </w:r>
      <w:r>
        <w:rPr>
          <w:rFonts w:cs="Times New Roman"/>
          <w:szCs w:val="24"/>
        </w:rPr>
        <w:t xml:space="preserve"> three different ways in which capital gains may be taxed.</w:t>
      </w:r>
    </w:p>
    <w:p w14:paraId="12BAD507" w14:textId="77777777" w:rsidR="00C556FC" w:rsidRDefault="00C556FC" w:rsidP="00C556FC">
      <w:pPr>
        <w:pStyle w:val="NoSpacing"/>
        <w:rPr>
          <w:rFonts w:cs="Times New Roman"/>
        </w:rPr>
      </w:pPr>
    </w:p>
    <w:p w14:paraId="338AFEF4" w14:textId="5CCD39E1" w:rsidR="00915941" w:rsidRPr="00D274C9" w:rsidRDefault="00D274C9" w:rsidP="00E657DD">
      <w:pPr>
        <w:pStyle w:val="NoSpacing"/>
        <w:rPr>
          <w:b/>
          <w:bCs/>
          <w:i/>
          <w:iCs/>
        </w:rPr>
      </w:pPr>
      <w:r>
        <w:rPr>
          <w:b/>
          <w:bCs/>
          <w:i/>
          <w:iCs/>
        </w:rPr>
        <w:t>Nicholas Kaldor</w:t>
      </w:r>
    </w:p>
    <w:p w14:paraId="3FBEA477" w14:textId="366D5B16" w:rsidR="00E657DD" w:rsidRDefault="00D274C9" w:rsidP="000842D7">
      <w:pPr>
        <w:pStyle w:val="NoSpacing"/>
      </w:pPr>
      <w:r>
        <w:t>T</w:t>
      </w:r>
      <w:r w:rsidR="00E657DD">
        <w:t>he central figure in the design of the new tax was Nicholas Kaldor</w:t>
      </w:r>
      <w:r>
        <w:t xml:space="preserve">, </w:t>
      </w:r>
      <w:r w:rsidR="00E657DD">
        <w:rPr>
          <w:rFonts w:cs="Times New Roman"/>
          <w:szCs w:val="24"/>
        </w:rPr>
        <w:t>academic economist</w:t>
      </w:r>
      <w:r>
        <w:rPr>
          <w:rFonts w:cs="Times New Roman"/>
          <w:szCs w:val="24"/>
        </w:rPr>
        <w:t xml:space="preserve">, </w:t>
      </w:r>
      <w:r w:rsidR="00915941">
        <w:rPr>
          <w:rFonts w:cs="Times New Roman"/>
          <w:szCs w:val="24"/>
        </w:rPr>
        <w:t>Labour Party</w:t>
      </w:r>
      <w:r>
        <w:rPr>
          <w:rFonts w:cs="Times New Roman"/>
          <w:szCs w:val="24"/>
        </w:rPr>
        <w:t xml:space="preserve"> thinker. </w:t>
      </w:r>
      <w:r w:rsidR="00915941">
        <w:rPr>
          <w:rFonts w:cs="Times New Roman"/>
          <w:szCs w:val="24"/>
        </w:rPr>
        <w:t>talented writer</w:t>
      </w:r>
      <w:r>
        <w:rPr>
          <w:rFonts w:cs="Times New Roman"/>
          <w:szCs w:val="24"/>
        </w:rPr>
        <w:t xml:space="preserve">, </w:t>
      </w:r>
      <w:r w:rsidR="00915941">
        <w:rPr>
          <w:rFonts w:cs="Times New Roman"/>
          <w:szCs w:val="24"/>
        </w:rPr>
        <w:t>chosen by the Chancellor of the Exchequer to be his Special Advisor on taxation.</w:t>
      </w:r>
    </w:p>
    <w:p w14:paraId="1399B58A" w14:textId="77777777" w:rsidR="00E657DD" w:rsidRDefault="00E657DD" w:rsidP="00E657DD">
      <w:pPr>
        <w:pStyle w:val="NoSpacing"/>
        <w:rPr>
          <w:rFonts w:cs="Times New Roman"/>
          <w:szCs w:val="24"/>
        </w:rPr>
      </w:pPr>
    </w:p>
    <w:p w14:paraId="60FD7995" w14:textId="26EB27E3" w:rsidR="00211459" w:rsidRDefault="00211459" w:rsidP="00E657DD">
      <w:pPr>
        <w:pStyle w:val="NoSpacing"/>
      </w:pPr>
      <w:r>
        <w:t>Kaldor advocated a model of comprehensive taxation, which he termed ‘expenditure tax</w:t>
      </w:r>
      <w:proofErr w:type="gramStart"/>
      <w:r>
        <w:t>’.</w:t>
      </w:r>
      <w:proofErr w:type="gramEnd"/>
      <w:r>
        <w:t xml:space="preserve"> The central concept of ‘expenditure tax’ is that there is a tax charge on all incomings minus sums invested. Under Kaldor’s model, there would be taxation of capital gains including taxation of the gain made on the sale of the home.</w:t>
      </w:r>
    </w:p>
    <w:p w14:paraId="427E790E" w14:textId="77777777" w:rsidR="00211459" w:rsidRDefault="00211459" w:rsidP="00E657DD">
      <w:pPr>
        <w:pStyle w:val="NoSpacing"/>
      </w:pPr>
    </w:p>
    <w:p w14:paraId="2EC923F1" w14:textId="752F19FE" w:rsidR="00211459" w:rsidRDefault="005315CB" w:rsidP="006D71B2">
      <w:pPr>
        <w:pStyle w:val="NoSpacing"/>
      </w:pPr>
      <w:r>
        <w:t xml:space="preserve">Kaldor was appointed to the Royal Commission on Taxation of Income and Profits. </w:t>
      </w:r>
      <w:r w:rsidR="00DD694D">
        <w:rPr>
          <w:rFonts w:cs="Times New Roman"/>
          <w:szCs w:val="24"/>
        </w:rPr>
        <w:t xml:space="preserve">Eleven of the fourteen members of the Commission (including its </w:t>
      </w:r>
      <w:proofErr w:type="gramStart"/>
      <w:r w:rsidR="00DD694D">
        <w:rPr>
          <w:rFonts w:cs="Times New Roman"/>
          <w:szCs w:val="24"/>
        </w:rPr>
        <w:t>Chairman</w:t>
      </w:r>
      <w:proofErr w:type="gramEnd"/>
      <w:r w:rsidR="00DD694D">
        <w:rPr>
          <w:rFonts w:cs="Times New Roman"/>
          <w:szCs w:val="24"/>
        </w:rPr>
        <w:t>) rejected the taxation of capital gains.</w:t>
      </w:r>
    </w:p>
    <w:p w14:paraId="15172940" w14:textId="77777777" w:rsidR="00211459" w:rsidRDefault="00211459" w:rsidP="006D71B2">
      <w:pPr>
        <w:pStyle w:val="NoSpacing"/>
      </w:pPr>
    </w:p>
    <w:p w14:paraId="3DD472A4" w14:textId="7CD637B3" w:rsidR="00DD694D" w:rsidRDefault="00052A78" w:rsidP="006D71B2">
      <w:pPr>
        <w:pStyle w:val="NoSpacing"/>
      </w:pPr>
      <w:r>
        <w:t>Kaldor’s</w:t>
      </w:r>
      <w:r w:rsidR="009461F3">
        <w:t xml:space="preserve"> scheme was to tax the gain on the home but</w:t>
      </w:r>
      <w:r w:rsidR="007A4407">
        <w:t>, in 195</w:t>
      </w:r>
      <w:r w:rsidR="00460AE7">
        <w:t>4</w:t>
      </w:r>
      <w:r w:rsidR="009461F3">
        <w:t xml:space="preserve">, he </w:t>
      </w:r>
      <w:r w:rsidR="00460AE7">
        <w:t>needed support from those who</w:t>
      </w:r>
      <w:r>
        <w:t xml:space="preserve"> were not attracted by a tax charge arising when the home is sold</w:t>
      </w:r>
      <w:r w:rsidR="00460AE7">
        <w:t xml:space="preserve">. </w:t>
      </w:r>
      <w:r w:rsidR="00DD694D">
        <w:t xml:space="preserve">George </w:t>
      </w:r>
      <w:r w:rsidR="006D71B2">
        <w:t>Woodcock</w:t>
      </w:r>
      <w:r w:rsidR="005315CB">
        <w:t xml:space="preserve"> and Herbert</w:t>
      </w:r>
      <w:r w:rsidR="006D71B2">
        <w:t xml:space="preserve"> Bullock had a particular concern that taxing gains on the home could hinder mobility</w:t>
      </w:r>
      <w:r w:rsidR="00EB1B01">
        <w:t xml:space="preserve"> of workers</w:t>
      </w:r>
      <w:r w:rsidR="006D71B2">
        <w:t>. Kaldor needed their support so, in the Memorandum of Dissent i</w:t>
      </w:r>
      <w:r>
        <w:t>t i</w:t>
      </w:r>
      <w:r w:rsidR="006D71B2">
        <w:t xml:space="preserve">s written that a tax charge </w:t>
      </w:r>
      <w:r w:rsidR="00EB1B01">
        <w:t>on selling the home could mean that</w:t>
      </w:r>
      <w:r w:rsidR="006D71B2">
        <w:t xml:space="preserve"> “people might be deterred from accepting new jobs if it meant that they had to sell their existing home</w:t>
      </w:r>
      <w:proofErr w:type="gramStart"/>
      <w:r w:rsidR="006D71B2">
        <w:t>”.</w:t>
      </w:r>
      <w:proofErr w:type="gramEnd"/>
    </w:p>
    <w:p w14:paraId="7867CF34" w14:textId="77777777" w:rsidR="00DD694D" w:rsidRDefault="00DD694D" w:rsidP="006D71B2">
      <w:pPr>
        <w:pStyle w:val="NoSpacing"/>
      </w:pPr>
    </w:p>
    <w:p w14:paraId="41DB8F4E" w14:textId="3B544BB6" w:rsidR="00EB1B01" w:rsidRDefault="000842D7" w:rsidP="006D71B2">
      <w:pPr>
        <w:pStyle w:val="NoSpacing"/>
      </w:pPr>
      <w:r>
        <w:lastRenderedPageBreak/>
        <w:t xml:space="preserve">By contrast, </w:t>
      </w:r>
      <w:r w:rsidR="00EB1B01">
        <w:t>Kaldor’s own thoughts had not changed</w:t>
      </w:r>
      <w:r w:rsidR="005315CB">
        <w:t>. I</w:t>
      </w:r>
      <w:r w:rsidR="00C06892">
        <w:t>n May 1959</w:t>
      </w:r>
      <w:r w:rsidR="005315CB">
        <w:t>, he wrote</w:t>
      </w:r>
      <w:r w:rsidR="00C06892">
        <w:t>:</w:t>
      </w:r>
    </w:p>
    <w:p w14:paraId="0C45D0A5" w14:textId="25228356" w:rsidR="00C06892" w:rsidRDefault="00C06892" w:rsidP="00C06892">
      <w:pPr>
        <w:pStyle w:val="NoSpacing"/>
        <w:ind w:left="567" w:right="545"/>
        <w:jc w:val="both"/>
      </w:pPr>
      <w:r>
        <w:t xml:space="preserve">“Capital gains should be taxed as income </w:t>
      </w:r>
      <w:proofErr w:type="gramStart"/>
      <w:r>
        <w:t>on the occasion of</w:t>
      </w:r>
      <w:proofErr w:type="gramEnd"/>
      <w:r>
        <w:t xml:space="preserve"> every change of ownership (whether by way of sale, gift, bequest, transfer into trust, etc)</w:t>
      </w:r>
      <w:r w:rsidR="000D7793">
        <w:t xml:space="preserve">. </w:t>
      </w:r>
      <w:r>
        <w:t>No distinction is to be made for the home.”</w:t>
      </w:r>
    </w:p>
    <w:p w14:paraId="403EB64B" w14:textId="77777777" w:rsidR="00C06892" w:rsidRDefault="00C06892" w:rsidP="006D71B2">
      <w:pPr>
        <w:pStyle w:val="NoSpacing"/>
      </w:pPr>
    </w:p>
    <w:p w14:paraId="19BA7A28" w14:textId="0A35D561" w:rsidR="00C06892" w:rsidRDefault="00C06892" w:rsidP="00C06892">
      <w:pPr>
        <w:pStyle w:val="NoSpacing"/>
      </w:pPr>
      <w:r>
        <w:t xml:space="preserve">In preparing for the 1964 general election, the Labour Party set up a Working Party on Taxation, of which Kaldor was an influential member. </w:t>
      </w:r>
      <w:r w:rsidR="00052A78">
        <w:t>A</w:t>
      </w:r>
      <w:r>
        <w:t>t its meeting on 7 February 1964</w:t>
      </w:r>
      <w:r w:rsidR="00D53C96">
        <w:t xml:space="preserve">, the Working Party </w:t>
      </w:r>
      <w:r>
        <w:t>envisage</w:t>
      </w:r>
      <w:r w:rsidR="005315CB">
        <w:t>d</w:t>
      </w:r>
      <w:r>
        <w:t xml:space="preserve"> a charge to capital gains tax on all assets, including the family home. </w:t>
      </w:r>
      <w:r w:rsidR="000842D7">
        <w:t>However, a</w:t>
      </w:r>
      <w:r w:rsidR="005315CB">
        <w:t xml:space="preserve">t its meeting on </w:t>
      </w:r>
      <w:r w:rsidR="00D53C96">
        <w:t xml:space="preserve">21 February 1964, </w:t>
      </w:r>
      <w:r>
        <w:t>the Working Party minutes state:</w:t>
      </w:r>
    </w:p>
    <w:p w14:paraId="21ED1ADD" w14:textId="0BF2D1AD" w:rsidR="00C06892" w:rsidRDefault="00C06892" w:rsidP="00C06892">
      <w:pPr>
        <w:pStyle w:val="NoSpacing"/>
        <w:ind w:left="567" w:right="545"/>
        <w:jc w:val="both"/>
      </w:pPr>
      <w:r>
        <w:t>“It was suggested</w:t>
      </w:r>
      <w:r w:rsidR="00FF71E1">
        <w:t xml:space="preserve"> </w:t>
      </w:r>
      <w:r>
        <w:t>that capital gains made from the sale of owner-occupied houses should not normally be taxed, since the full proceeds of the sale would generally be needed for the purchase of a new house. After a short discussion, it was agreed it would probably be desirable to exempt from capital gains tax the gain from the sale of an owner-occupied house up to a specified maximum.”</w:t>
      </w:r>
    </w:p>
    <w:p w14:paraId="47B507C2" w14:textId="77777777" w:rsidR="000842D7" w:rsidRDefault="000842D7" w:rsidP="00C06892">
      <w:pPr>
        <w:pStyle w:val="NoSpacing"/>
        <w:ind w:left="567" w:right="545"/>
        <w:jc w:val="both"/>
      </w:pPr>
    </w:p>
    <w:p w14:paraId="328C423D" w14:textId="77777777" w:rsidR="000842D7" w:rsidRPr="008D605A" w:rsidRDefault="000842D7" w:rsidP="000842D7">
      <w:pPr>
        <w:pStyle w:val="NoSpacing"/>
        <w:rPr>
          <w:b/>
          <w:bCs/>
          <w:i/>
          <w:iCs/>
        </w:rPr>
      </w:pPr>
      <w:r>
        <w:rPr>
          <w:b/>
          <w:bCs/>
          <w:i/>
          <w:iCs/>
        </w:rPr>
        <w:t>Inland Revenue</w:t>
      </w:r>
    </w:p>
    <w:p w14:paraId="66540AE7" w14:textId="77777777" w:rsidR="000842D7" w:rsidRDefault="005315CB" w:rsidP="005315CB">
      <w:pPr>
        <w:pStyle w:val="NoSpacing"/>
      </w:pPr>
      <w:r>
        <w:t xml:space="preserve">Five days after Labour’s </w:t>
      </w:r>
      <w:r w:rsidR="000842D7">
        <w:t xml:space="preserve">October 1964 </w:t>
      </w:r>
      <w:r>
        <w:t>election victory</w:t>
      </w:r>
      <w:r w:rsidR="008872E0">
        <w:t>, the</w:t>
      </w:r>
      <w:r w:rsidR="008872E0" w:rsidRPr="000E3987">
        <w:t xml:space="preserve"> </w:t>
      </w:r>
      <w:r w:rsidR="008872E0">
        <w:t xml:space="preserve">Inland Revenue </w:t>
      </w:r>
      <w:r>
        <w:t xml:space="preserve">presented a paper on taxing capital gains to the new Chancellor. This states that </w:t>
      </w:r>
      <w:r w:rsidR="00667180">
        <w:t>“Ministers will wish to consider whether an exception should be made in the case of the taxpayer’s principal residence…</w:t>
      </w:r>
      <w:r>
        <w:t>”</w:t>
      </w:r>
    </w:p>
    <w:p w14:paraId="35C699DD" w14:textId="6FE62BB9" w:rsidR="005315CB" w:rsidRDefault="000842D7" w:rsidP="005315CB">
      <w:pPr>
        <w:pStyle w:val="NoSpacing"/>
      </w:pPr>
      <w:r>
        <w:t>The Inland Revenue paper gives Ministers three</w:t>
      </w:r>
      <w:r w:rsidR="005315CB">
        <w:t xml:space="preserve"> alternatives:</w:t>
      </w:r>
    </w:p>
    <w:p w14:paraId="3A7B6AFD" w14:textId="07D6314D" w:rsidR="005315CB" w:rsidRDefault="000842D7" w:rsidP="000842D7">
      <w:pPr>
        <w:pStyle w:val="NoSpacing"/>
        <w:numPr>
          <w:ilvl w:val="0"/>
          <w:numId w:val="1"/>
        </w:numPr>
      </w:pPr>
      <w:r>
        <w:t>R</w:t>
      </w:r>
      <w:r w:rsidR="005315CB">
        <w:t>ollover relief for the gain</w:t>
      </w:r>
    </w:p>
    <w:p w14:paraId="6FE30962" w14:textId="77777777" w:rsidR="000842D7" w:rsidRDefault="000842D7" w:rsidP="000842D7">
      <w:pPr>
        <w:pStyle w:val="NoSpacing"/>
        <w:numPr>
          <w:ilvl w:val="0"/>
          <w:numId w:val="1"/>
        </w:numPr>
      </w:pPr>
      <w:r>
        <w:t>Charge CGT on gains above a specified limit</w:t>
      </w:r>
    </w:p>
    <w:p w14:paraId="45F3D37F" w14:textId="4A77A7E9" w:rsidR="00667180" w:rsidRDefault="000842D7" w:rsidP="000842D7">
      <w:pPr>
        <w:pStyle w:val="NoSpacing"/>
        <w:numPr>
          <w:ilvl w:val="0"/>
          <w:numId w:val="1"/>
        </w:numPr>
      </w:pPr>
      <w:r>
        <w:t xml:space="preserve">Give full </w:t>
      </w:r>
      <w:r w:rsidR="005315CB">
        <w:t xml:space="preserve">exemption </w:t>
      </w:r>
      <w:r>
        <w:t>for the gain on the home</w:t>
      </w:r>
    </w:p>
    <w:p w14:paraId="5B276851" w14:textId="3B4DE9F7" w:rsidR="00667180" w:rsidRDefault="000842D7" w:rsidP="00667180">
      <w:pPr>
        <w:pStyle w:val="NoSpacing"/>
      </w:pPr>
      <w:r>
        <w:t>The IR paper states that b</w:t>
      </w:r>
      <w:r w:rsidR="001F72B9">
        <w:t xml:space="preserve">oth </w:t>
      </w:r>
      <w:r>
        <w:t xml:space="preserve">1. and 2. </w:t>
      </w:r>
      <w:r w:rsidR="001F72B9">
        <w:t xml:space="preserve">would </w:t>
      </w:r>
      <w:r>
        <w:t xml:space="preserve">require policing at </w:t>
      </w:r>
      <w:r w:rsidR="00667180">
        <w:t>a high cost</w:t>
      </w:r>
      <w:r w:rsidR="001F72B9">
        <w:t>.</w:t>
      </w:r>
    </w:p>
    <w:p w14:paraId="5AC731AE" w14:textId="77777777" w:rsidR="008872E0" w:rsidRDefault="008872E0" w:rsidP="008872E0">
      <w:pPr>
        <w:pStyle w:val="NoSpacing"/>
      </w:pPr>
    </w:p>
    <w:p w14:paraId="2E8C5BE4" w14:textId="7C5204F7" w:rsidR="008D605A" w:rsidRPr="008D605A" w:rsidRDefault="008D605A" w:rsidP="008872E0">
      <w:pPr>
        <w:pStyle w:val="NoSpacing"/>
        <w:rPr>
          <w:b/>
          <w:bCs/>
          <w:i/>
          <w:iCs/>
        </w:rPr>
      </w:pPr>
      <w:r>
        <w:rPr>
          <w:b/>
          <w:bCs/>
          <w:i/>
          <w:iCs/>
        </w:rPr>
        <w:t>Decision to exempt the home</w:t>
      </w:r>
    </w:p>
    <w:p w14:paraId="0AEAB427" w14:textId="77777777" w:rsidR="001F72B9" w:rsidRDefault="001F72B9" w:rsidP="008872E0">
      <w:pPr>
        <w:pStyle w:val="NoSpacing"/>
      </w:pPr>
      <w:r>
        <w:t>On 2 November 1964, Ministers agreed on exemption, without limit.</w:t>
      </w:r>
    </w:p>
    <w:p w14:paraId="5578EC94" w14:textId="77777777" w:rsidR="001F72B9" w:rsidRDefault="001F72B9" w:rsidP="008872E0">
      <w:pPr>
        <w:pStyle w:val="NoSpacing"/>
      </w:pPr>
    </w:p>
    <w:p w14:paraId="08A713CC" w14:textId="77777777" w:rsidR="008872E0" w:rsidRDefault="008872E0" w:rsidP="008872E0">
      <w:pPr>
        <w:pStyle w:val="NoSpacing"/>
      </w:pPr>
      <w:r w:rsidRPr="00494212">
        <w:t xml:space="preserve">On 12 November 1964, John Diamond, Chief Secretary to the Treasury, </w:t>
      </w:r>
      <w:r>
        <w:t xml:space="preserve">made a statement </w:t>
      </w:r>
      <w:r w:rsidRPr="00494212">
        <w:t>to the House of Commons</w:t>
      </w:r>
      <w:r>
        <w:t>:</w:t>
      </w:r>
    </w:p>
    <w:p w14:paraId="08E051B6" w14:textId="790378CB" w:rsidR="00F517C5" w:rsidRPr="00494212" w:rsidRDefault="00F517C5" w:rsidP="00F517C5">
      <w:pPr>
        <w:pStyle w:val="NoSpacing"/>
        <w:ind w:left="567" w:right="828"/>
        <w:jc w:val="both"/>
      </w:pPr>
      <w:r>
        <w:t>“</w:t>
      </w:r>
      <w:r w:rsidRPr="00494212">
        <w:t xml:space="preserve">I </w:t>
      </w:r>
      <w:r>
        <w:t xml:space="preserve">can say </w:t>
      </w:r>
      <w:r w:rsidRPr="00494212">
        <w:t xml:space="preserve">that the taxpayer’s main residence is to be exempt from the forthcoming </w:t>
      </w:r>
      <w:r>
        <w:t>capital gains tax</w:t>
      </w:r>
      <w:r w:rsidRPr="00494212">
        <w:t>.</w:t>
      </w:r>
      <w:r>
        <w:t>”</w:t>
      </w:r>
    </w:p>
    <w:p w14:paraId="7106F491" w14:textId="56E3AAD8" w:rsidR="00C556FC" w:rsidRDefault="00C556FC" w:rsidP="002B1A82">
      <w:pPr>
        <w:pStyle w:val="NoSpacing"/>
      </w:pPr>
    </w:p>
    <w:p w14:paraId="72E2B0D3" w14:textId="1C930663" w:rsidR="00F517C5" w:rsidRDefault="00F517C5" w:rsidP="00F517C5">
      <w:pPr>
        <w:pStyle w:val="NoSpacing"/>
      </w:pPr>
      <w:r>
        <w:t>Chancellors have shown a great liking for tinkering with the provisions of UK capital gains tax and the exemption for the main residence has been no exception, but the tinkering has always related to the exceptions from the fundamental principle of exemption. Thus, the final period for which exemption is automatically granted has been changed from one year to three years, to eighteen months, then to nine months. An additional relief for property that is both a main residence and is let has been introduced and then restricted. The rate of tax applied to periods when the house is not the taxpayer’s home has changed from a fixed rate of 30% to income tax rates, to 18%, to the rates of 18% and 28% (depending on income) that apply to other gains, to rates that are higher for gains on residential property than for gains on other assets, then back again.</w:t>
      </w:r>
    </w:p>
    <w:p w14:paraId="0A667679" w14:textId="77777777" w:rsidR="00C556FC" w:rsidRDefault="00C556FC" w:rsidP="002B1A82">
      <w:pPr>
        <w:pStyle w:val="NoSpacing"/>
      </w:pPr>
    </w:p>
    <w:p w14:paraId="476652A9" w14:textId="250E108A" w:rsidR="008D605A" w:rsidRPr="008D605A" w:rsidRDefault="008D605A" w:rsidP="002B1A82">
      <w:pPr>
        <w:pStyle w:val="NoSpacing"/>
        <w:rPr>
          <w:b/>
          <w:bCs/>
          <w:i/>
          <w:iCs/>
        </w:rPr>
      </w:pPr>
      <w:r w:rsidRPr="008D605A">
        <w:rPr>
          <w:b/>
          <w:bCs/>
          <w:i/>
          <w:iCs/>
        </w:rPr>
        <w:t>Criticism of the PPR exemption</w:t>
      </w:r>
    </w:p>
    <w:p w14:paraId="305B5C00" w14:textId="77777777" w:rsidR="000842D7" w:rsidRDefault="000842D7" w:rsidP="001F72B9">
      <w:pPr>
        <w:pStyle w:val="NoSpacing"/>
      </w:pPr>
      <w:r>
        <w:t>Since 1965, there has been little criticism of the full exemption.</w:t>
      </w:r>
    </w:p>
    <w:p w14:paraId="453440B7" w14:textId="77777777" w:rsidR="000842D7" w:rsidRDefault="001F72B9" w:rsidP="001F72B9">
      <w:pPr>
        <w:pStyle w:val="NoSpacing"/>
      </w:pPr>
      <w:r>
        <w:t>T</w:t>
      </w:r>
      <w:r w:rsidR="00667180">
        <w:t xml:space="preserve">he 2011 </w:t>
      </w:r>
      <w:r>
        <w:t xml:space="preserve">Institute for Fiscal Studies </w:t>
      </w:r>
      <w:proofErr w:type="spellStart"/>
      <w:r w:rsidR="00D60B8E">
        <w:t>Mirrlees</w:t>
      </w:r>
      <w:proofErr w:type="spellEnd"/>
      <w:r w:rsidR="00D60B8E">
        <w:t xml:space="preserve"> Report</w:t>
      </w:r>
      <w:r>
        <w:t xml:space="preserve"> questions the PPR exemption</w:t>
      </w:r>
      <w:r w:rsidR="000842D7">
        <w:t>.</w:t>
      </w:r>
    </w:p>
    <w:p w14:paraId="753A1609" w14:textId="705080E5" w:rsidR="001F72B9" w:rsidRDefault="008D605A" w:rsidP="00F870DE">
      <w:pPr>
        <w:pStyle w:val="NoSpacing"/>
      </w:pPr>
      <w:r>
        <w:t>I</w:t>
      </w:r>
      <w:r w:rsidR="00F870DE">
        <w:t>n 2015</w:t>
      </w:r>
      <w:r w:rsidR="00256F27">
        <w:t xml:space="preserve"> </w:t>
      </w:r>
      <w:r w:rsidR="00F870DE">
        <w:t xml:space="preserve">Natalie Lee </w:t>
      </w:r>
      <w:r w:rsidR="001F72B9">
        <w:t>proposed bringing the home within the CGT charge, but with rollover relief available.</w:t>
      </w:r>
    </w:p>
    <w:p w14:paraId="6522C8C5" w14:textId="77777777" w:rsidR="001F72B9" w:rsidRDefault="001F72B9" w:rsidP="00F870DE">
      <w:pPr>
        <w:pStyle w:val="NoSpacing"/>
      </w:pPr>
    </w:p>
    <w:p w14:paraId="1F62DD4D" w14:textId="6815FBF9" w:rsidR="008D605A" w:rsidRPr="008D605A" w:rsidRDefault="008D605A" w:rsidP="00F870DE">
      <w:pPr>
        <w:pStyle w:val="NoSpacing"/>
        <w:rPr>
          <w:b/>
          <w:bCs/>
          <w:i/>
          <w:iCs/>
        </w:rPr>
      </w:pPr>
      <w:r>
        <w:rPr>
          <w:b/>
          <w:bCs/>
          <w:i/>
          <w:iCs/>
        </w:rPr>
        <w:t xml:space="preserve">Charge at death </w:t>
      </w:r>
      <w:proofErr w:type="gramStart"/>
      <w:r>
        <w:rPr>
          <w:b/>
          <w:bCs/>
          <w:i/>
          <w:iCs/>
        </w:rPr>
        <w:t xml:space="preserve">a necessary </w:t>
      </w:r>
      <w:r w:rsidR="00BF6641">
        <w:rPr>
          <w:b/>
          <w:bCs/>
          <w:i/>
          <w:iCs/>
        </w:rPr>
        <w:t>prerequisite</w:t>
      </w:r>
      <w:proofErr w:type="gramEnd"/>
      <w:r w:rsidR="000842D7">
        <w:rPr>
          <w:b/>
          <w:bCs/>
          <w:i/>
          <w:iCs/>
        </w:rPr>
        <w:t xml:space="preserve"> for charging CGT on the home</w:t>
      </w:r>
    </w:p>
    <w:p w14:paraId="75511D6C" w14:textId="3A33E3C9" w:rsidR="00924FD7" w:rsidRDefault="000842D7" w:rsidP="00F870DE">
      <w:pPr>
        <w:pStyle w:val="NoSpacing"/>
      </w:pPr>
      <w:r>
        <w:t>The problem with Lee’s suggestion is that, i</w:t>
      </w:r>
      <w:r w:rsidR="007D1B29">
        <w:t xml:space="preserve">f CGT is charged on the home with rollover available but there is no charge at death, </w:t>
      </w:r>
      <w:r w:rsidR="00924FD7">
        <w:t>there will be very many cases where the taxpayer will choose to keep the house (perhaps an over-large house, or a house in which he/she no longer lives) until death wipes out the capital gains tax charge.</w:t>
      </w:r>
    </w:p>
    <w:p w14:paraId="7F357D03" w14:textId="77777777" w:rsidR="00F517C5" w:rsidRDefault="00F517C5" w:rsidP="00F870DE">
      <w:pPr>
        <w:pStyle w:val="NoSpacing"/>
      </w:pPr>
    </w:p>
    <w:p w14:paraId="5B1F5336" w14:textId="36FD6B3B" w:rsidR="001F72B9" w:rsidRDefault="001F72B9" w:rsidP="0013354F">
      <w:pPr>
        <w:pStyle w:val="NoSpacing"/>
        <w:ind w:right="828"/>
        <w:rPr>
          <w:rFonts w:cs="Times New Roman"/>
          <w:szCs w:val="24"/>
        </w:rPr>
      </w:pPr>
      <w:r>
        <w:rPr>
          <w:rFonts w:cs="Times New Roman"/>
          <w:szCs w:val="24"/>
        </w:rPr>
        <w:t>It is suggested that rollover relief would require reintroduction of the CGT charge at death (imposed by FA 1965, s 24, repealed by FA 1971, s 59).</w:t>
      </w:r>
    </w:p>
    <w:p w14:paraId="4B1BC739" w14:textId="32297948" w:rsidR="008D605A" w:rsidRDefault="008D605A" w:rsidP="0013354F">
      <w:pPr>
        <w:pStyle w:val="NoSpacing"/>
        <w:ind w:right="828"/>
        <w:rPr>
          <w:rFonts w:cs="Times New Roman"/>
          <w:szCs w:val="24"/>
        </w:rPr>
      </w:pPr>
      <w:r>
        <w:rPr>
          <w:rFonts w:cs="Times New Roman"/>
          <w:szCs w:val="24"/>
        </w:rPr>
        <w:t>The charge at death could be:</w:t>
      </w:r>
    </w:p>
    <w:p w14:paraId="3859D46D" w14:textId="6C26142E" w:rsidR="008D605A" w:rsidRDefault="008D605A" w:rsidP="000842D7">
      <w:pPr>
        <w:pStyle w:val="NoSpacing"/>
        <w:numPr>
          <w:ilvl w:val="0"/>
          <w:numId w:val="2"/>
        </w:numPr>
        <w:ind w:right="828"/>
        <w:rPr>
          <w:rFonts w:cs="Times New Roman"/>
          <w:szCs w:val="24"/>
        </w:rPr>
      </w:pPr>
      <w:r>
        <w:rPr>
          <w:rFonts w:cs="Times New Roman"/>
          <w:szCs w:val="24"/>
        </w:rPr>
        <w:t>Payment at death</w:t>
      </w:r>
    </w:p>
    <w:p w14:paraId="2A84941E" w14:textId="6AA480C7" w:rsidR="008D605A" w:rsidRDefault="008D605A" w:rsidP="0013354F">
      <w:pPr>
        <w:pStyle w:val="NoSpacing"/>
        <w:ind w:right="828"/>
        <w:rPr>
          <w:rFonts w:cs="Times New Roman"/>
          <w:szCs w:val="24"/>
        </w:rPr>
      </w:pPr>
      <w:r>
        <w:rPr>
          <w:rFonts w:cs="Times New Roman"/>
          <w:szCs w:val="24"/>
        </w:rPr>
        <w:t>or</w:t>
      </w:r>
    </w:p>
    <w:p w14:paraId="50D3B0DC" w14:textId="6B157DAF" w:rsidR="008D605A" w:rsidRDefault="000842D7" w:rsidP="0013354F">
      <w:pPr>
        <w:pStyle w:val="NoSpacing"/>
        <w:ind w:right="828"/>
        <w:rPr>
          <w:rFonts w:cs="Times New Roman"/>
          <w:szCs w:val="24"/>
        </w:rPr>
      </w:pPr>
      <w:r>
        <w:rPr>
          <w:rFonts w:cs="Times New Roman"/>
          <w:szCs w:val="24"/>
        </w:rPr>
        <w:t>2.</w:t>
      </w:r>
      <w:r>
        <w:rPr>
          <w:rFonts w:cs="Times New Roman"/>
          <w:szCs w:val="24"/>
        </w:rPr>
        <w:tab/>
      </w:r>
      <w:r w:rsidR="008D605A">
        <w:rPr>
          <w:rFonts w:cs="Times New Roman"/>
          <w:szCs w:val="24"/>
        </w:rPr>
        <w:t>Rollover, with payment being made when the beneficiary sells the home</w:t>
      </w:r>
    </w:p>
    <w:p w14:paraId="2AD71EB5" w14:textId="77777777" w:rsidR="001F72B9" w:rsidRDefault="001F72B9" w:rsidP="0013354F">
      <w:pPr>
        <w:pStyle w:val="NoSpacing"/>
        <w:ind w:right="828"/>
        <w:rPr>
          <w:rFonts w:cs="Times New Roman"/>
          <w:szCs w:val="24"/>
        </w:rPr>
      </w:pPr>
    </w:p>
    <w:p w14:paraId="3944CE96" w14:textId="77777777" w:rsidR="001F72B9" w:rsidRDefault="001F72B9" w:rsidP="0013354F">
      <w:pPr>
        <w:pStyle w:val="NoSpacing"/>
        <w:ind w:right="828"/>
        <w:rPr>
          <w:rFonts w:cs="Times New Roman"/>
          <w:szCs w:val="24"/>
        </w:rPr>
      </w:pPr>
    </w:p>
    <w:p w14:paraId="2B128A16" w14:textId="77777777" w:rsidR="001F72B9" w:rsidRDefault="001F72B9" w:rsidP="0013354F">
      <w:pPr>
        <w:pStyle w:val="NoSpacing"/>
        <w:ind w:right="828"/>
        <w:rPr>
          <w:rFonts w:cs="Times New Roman"/>
          <w:szCs w:val="24"/>
        </w:rPr>
      </w:pPr>
    </w:p>
    <w:p w14:paraId="3B885B38" w14:textId="77777777" w:rsidR="00D274C9" w:rsidRDefault="00D274C9" w:rsidP="00215F20">
      <w:pPr>
        <w:pStyle w:val="NoSpacing"/>
        <w:rPr>
          <w:rFonts w:cs="Times New Roman"/>
          <w:szCs w:val="24"/>
        </w:rPr>
      </w:pPr>
      <w:bookmarkStart w:id="0" w:name="_Hlk202874566"/>
    </w:p>
    <w:p w14:paraId="77CEC55E" w14:textId="77777777" w:rsidR="001F72B9" w:rsidRDefault="001F72B9" w:rsidP="00215F20">
      <w:pPr>
        <w:pStyle w:val="NoSpacing"/>
        <w:rPr>
          <w:rFonts w:cs="Times New Roman"/>
          <w:szCs w:val="24"/>
        </w:rPr>
      </w:pPr>
    </w:p>
    <w:p w14:paraId="1C96A3F6" w14:textId="77777777" w:rsidR="001F72B9" w:rsidRDefault="001F72B9" w:rsidP="00215F20">
      <w:pPr>
        <w:pStyle w:val="NoSpacing"/>
        <w:rPr>
          <w:rFonts w:cs="Times New Roman"/>
          <w:szCs w:val="24"/>
        </w:rPr>
      </w:pPr>
    </w:p>
    <w:p w14:paraId="1F871FFC" w14:textId="77777777" w:rsidR="001F72B9" w:rsidRDefault="001F72B9" w:rsidP="00215F20">
      <w:pPr>
        <w:pStyle w:val="NoSpacing"/>
      </w:pPr>
    </w:p>
    <w:p w14:paraId="68FE4192" w14:textId="3B97086F" w:rsidR="00D274C9" w:rsidRDefault="00D274C9" w:rsidP="00215F20">
      <w:pPr>
        <w:pStyle w:val="NoSpacing"/>
        <w:rPr>
          <w:b/>
          <w:bCs/>
        </w:rPr>
      </w:pPr>
      <w:r>
        <w:rPr>
          <w:b/>
          <w:bCs/>
        </w:rPr>
        <w:t>Full paper</w:t>
      </w:r>
    </w:p>
    <w:p w14:paraId="7D9000F1" w14:textId="77777777" w:rsidR="00D274C9" w:rsidRDefault="00D274C9" w:rsidP="00215F20">
      <w:pPr>
        <w:pStyle w:val="NoSpacing"/>
      </w:pPr>
      <w:r>
        <w:t>If you would like to read the full text of the paper on which this talk was based, David will be pleased to send you a copy.</w:t>
      </w:r>
    </w:p>
    <w:p w14:paraId="1912E0E5" w14:textId="5B9962E6" w:rsidR="00D274C9" w:rsidRPr="00D274C9" w:rsidRDefault="00D274C9" w:rsidP="00215F20">
      <w:pPr>
        <w:pStyle w:val="NoSpacing"/>
      </w:pPr>
      <w:r>
        <w:t>Please contact David Collison on dc</w:t>
      </w:r>
      <w:r>
        <w:rPr>
          <w:rFonts w:cs="Times New Roman"/>
        </w:rPr>
        <w:t>@</w:t>
      </w:r>
      <w:r w:rsidR="003673D3">
        <w:rPr>
          <w:rFonts w:cs="Times New Roman"/>
        </w:rPr>
        <w:t>d</w:t>
      </w:r>
      <w:r>
        <w:t>col.co.uk</w:t>
      </w:r>
    </w:p>
    <w:p w14:paraId="6BD8825C" w14:textId="77777777" w:rsidR="00215F20" w:rsidRPr="00215F20" w:rsidRDefault="00215F20" w:rsidP="00215F20">
      <w:pPr>
        <w:pStyle w:val="NoSpacing"/>
      </w:pPr>
    </w:p>
    <w:p w14:paraId="65299039" w14:textId="77777777" w:rsidR="00215F20" w:rsidRPr="00241F78" w:rsidRDefault="00215F20" w:rsidP="00215F20">
      <w:pPr>
        <w:pStyle w:val="NoSpacing"/>
      </w:pPr>
    </w:p>
    <w:p w14:paraId="57784426" w14:textId="77777777" w:rsidR="00947130" w:rsidRDefault="00947130" w:rsidP="00985D1A">
      <w:pPr>
        <w:pStyle w:val="NoSpacing"/>
      </w:pPr>
    </w:p>
    <w:p w14:paraId="1F53FC46" w14:textId="77777777" w:rsidR="00947130" w:rsidRDefault="00947130" w:rsidP="00985D1A">
      <w:pPr>
        <w:pStyle w:val="NoSpacing"/>
      </w:pPr>
    </w:p>
    <w:p w14:paraId="2ADA38A0" w14:textId="77777777" w:rsidR="00985D1A" w:rsidRPr="00D27D81" w:rsidRDefault="00985D1A" w:rsidP="00985D1A">
      <w:pPr>
        <w:pStyle w:val="NoSpacing"/>
      </w:pPr>
    </w:p>
    <w:p w14:paraId="0CBA918B" w14:textId="77777777" w:rsidR="00A34088" w:rsidRPr="00D27D81" w:rsidRDefault="00A34088" w:rsidP="00A34088">
      <w:pPr>
        <w:pStyle w:val="NoSpacing"/>
      </w:pPr>
    </w:p>
    <w:p w14:paraId="25BBE612" w14:textId="77777777" w:rsidR="00A34088" w:rsidRPr="00D27D81" w:rsidRDefault="00A34088" w:rsidP="00A34088">
      <w:pPr>
        <w:pStyle w:val="NoSpacing"/>
      </w:pPr>
    </w:p>
    <w:bookmarkEnd w:id="0"/>
    <w:p w14:paraId="5E436BCA" w14:textId="77777777" w:rsidR="00A34088" w:rsidRPr="00D27D81" w:rsidRDefault="00A34088" w:rsidP="002B1A82">
      <w:pPr>
        <w:pStyle w:val="NoSpacing"/>
      </w:pPr>
    </w:p>
    <w:sectPr w:rsidR="00A34088" w:rsidRPr="00D27D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0763" w14:textId="77777777" w:rsidR="00EF5175" w:rsidRDefault="00EF5175" w:rsidP="000827E5">
      <w:r>
        <w:separator/>
      </w:r>
    </w:p>
  </w:endnote>
  <w:endnote w:type="continuationSeparator" w:id="0">
    <w:p w14:paraId="37C41249" w14:textId="77777777" w:rsidR="00EF5175" w:rsidRDefault="00EF5175" w:rsidP="0008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26209"/>
      <w:docPartObj>
        <w:docPartGallery w:val="Page Numbers (Bottom of Page)"/>
        <w:docPartUnique/>
      </w:docPartObj>
    </w:sdtPr>
    <w:sdtEndPr>
      <w:rPr>
        <w:noProof/>
      </w:rPr>
    </w:sdtEndPr>
    <w:sdtContent>
      <w:p w14:paraId="24FC6187" w14:textId="19639A22" w:rsidR="00052A78" w:rsidRDefault="00052A78">
        <w:pPr>
          <w:pStyle w:val="Footer"/>
        </w:pPr>
        <w:r>
          <w:fldChar w:fldCharType="begin"/>
        </w:r>
        <w:r>
          <w:instrText xml:space="preserve"> PAGE   \* MERGEFORMAT </w:instrText>
        </w:r>
        <w:r>
          <w:fldChar w:fldCharType="separate"/>
        </w:r>
        <w:r>
          <w:rPr>
            <w:noProof/>
          </w:rPr>
          <w:t>2</w:t>
        </w:r>
        <w:r>
          <w:rPr>
            <w:noProof/>
          </w:rPr>
          <w:fldChar w:fldCharType="end"/>
        </w:r>
      </w:p>
    </w:sdtContent>
  </w:sdt>
  <w:p w14:paraId="5F8E1673" w14:textId="77777777" w:rsidR="00052A78" w:rsidRDefault="0005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7085" w14:textId="77777777" w:rsidR="00EF5175" w:rsidRDefault="00EF5175" w:rsidP="000827E5">
      <w:r>
        <w:separator/>
      </w:r>
    </w:p>
  </w:footnote>
  <w:footnote w:type="continuationSeparator" w:id="0">
    <w:p w14:paraId="629B5AB2" w14:textId="77777777" w:rsidR="00EF5175" w:rsidRDefault="00EF5175" w:rsidP="0008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E09CD"/>
    <w:multiLevelType w:val="hybridMultilevel"/>
    <w:tmpl w:val="820455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DD8543A"/>
    <w:multiLevelType w:val="hybridMultilevel"/>
    <w:tmpl w:val="670A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532719">
    <w:abstractNumId w:val="0"/>
  </w:num>
  <w:num w:numId="2" w16cid:durableId="121061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82"/>
    <w:rsid w:val="0002215F"/>
    <w:rsid w:val="00025AE0"/>
    <w:rsid w:val="00052A78"/>
    <w:rsid w:val="000564E2"/>
    <w:rsid w:val="000827E5"/>
    <w:rsid w:val="000842D7"/>
    <w:rsid w:val="00090A3C"/>
    <w:rsid w:val="000D7793"/>
    <w:rsid w:val="000E3E4C"/>
    <w:rsid w:val="000E5190"/>
    <w:rsid w:val="000E71B0"/>
    <w:rsid w:val="000F41C2"/>
    <w:rsid w:val="0013354F"/>
    <w:rsid w:val="00147B80"/>
    <w:rsid w:val="001801DB"/>
    <w:rsid w:val="00192DA7"/>
    <w:rsid w:val="001977AF"/>
    <w:rsid w:val="001E2C99"/>
    <w:rsid w:val="001F5E56"/>
    <w:rsid w:val="001F72B9"/>
    <w:rsid w:val="00211459"/>
    <w:rsid w:val="00215F20"/>
    <w:rsid w:val="002560BF"/>
    <w:rsid w:val="00256F27"/>
    <w:rsid w:val="002B1A82"/>
    <w:rsid w:val="002E3C1C"/>
    <w:rsid w:val="002E6C20"/>
    <w:rsid w:val="00306A06"/>
    <w:rsid w:val="003233F0"/>
    <w:rsid w:val="003423F6"/>
    <w:rsid w:val="00357E37"/>
    <w:rsid w:val="00363A63"/>
    <w:rsid w:val="003673D3"/>
    <w:rsid w:val="00372F9B"/>
    <w:rsid w:val="003B39DD"/>
    <w:rsid w:val="003B6F46"/>
    <w:rsid w:val="00460AE7"/>
    <w:rsid w:val="004909B6"/>
    <w:rsid w:val="004C00B4"/>
    <w:rsid w:val="004D0535"/>
    <w:rsid w:val="005102ED"/>
    <w:rsid w:val="005110D5"/>
    <w:rsid w:val="00513EAC"/>
    <w:rsid w:val="005315CB"/>
    <w:rsid w:val="00547758"/>
    <w:rsid w:val="00567C69"/>
    <w:rsid w:val="00590399"/>
    <w:rsid w:val="005B0A45"/>
    <w:rsid w:val="005D5C03"/>
    <w:rsid w:val="0064449C"/>
    <w:rsid w:val="00651F1B"/>
    <w:rsid w:val="0066221F"/>
    <w:rsid w:val="00667180"/>
    <w:rsid w:val="00672E96"/>
    <w:rsid w:val="006A5963"/>
    <w:rsid w:val="006B4E4B"/>
    <w:rsid w:val="006D71B2"/>
    <w:rsid w:val="00704EAA"/>
    <w:rsid w:val="0072216A"/>
    <w:rsid w:val="00762F7B"/>
    <w:rsid w:val="0078007F"/>
    <w:rsid w:val="007A4407"/>
    <w:rsid w:val="007B043F"/>
    <w:rsid w:val="007C7516"/>
    <w:rsid w:val="007D1B29"/>
    <w:rsid w:val="007E1C2B"/>
    <w:rsid w:val="007F5304"/>
    <w:rsid w:val="007F608A"/>
    <w:rsid w:val="008857E3"/>
    <w:rsid w:val="008872E0"/>
    <w:rsid w:val="008C78CD"/>
    <w:rsid w:val="008D605A"/>
    <w:rsid w:val="008F70AF"/>
    <w:rsid w:val="00915941"/>
    <w:rsid w:val="00921815"/>
    <w:rsid w:val="00924FD7"/>
    <w:rsid w:val="009461F3"/>
    <w:rsid w:val="00947130"/>
    <w:rsid w:val="00985D1A"/>
    <w:rsid w:val="009A0A85"/>
    <w:rsid w:val="009E0156"/>
    <w:rsid w:val="009E7D07"/>
    <w:rsid w:val="00A05D8C"/>
    <w:rsid w:val="00A15EA5"/>
    <w:rsid w:val="00A24719"/>
    <w:rsid w:val="00A34088"/>
    <w:rsid w:val="00A76DC6"/>
    <w:rsid w:val="00A80E67"/>
    <w:rsid w:val="00AC6EB2"/>
    <w:rsid w:val="00AD5791"/>
    <w:rsid w:val="00AE0D7E"/>
    <w:rsid w:val="00B367D1"/>
    <w:rsid w:val="00B631F8"/>
    <w:rsid w:val="00B76D00"/>
    <w:rsid w:val="00BA5A85"/>
    <w:rsid w:val="00BC5BBD"/>
    <w:rsid w:val="00BD55F4"/>
    <w:rsid w:val="00BF39BA"/>
    <w:rsid w:val="00BF6641"/>
    <w:rsid w:val="00C06892"/>
    <w:rsid w:val="00C171D8"/>
    <w:rsid w:val="00C556FC"/>
    <w:rsid w:val="00C770A2"/>
    <w:rsid w:val="00CC2CE8"/>
    <w:rsid w:val="00D23BCA"/>
    <w:rsid w:val="00D274C9"/>
    <w:rsid w:val="00D27D81"/>
    <w:rsid w:val="00D53C96"/>
    <w:rsid w:val="00D54AF3"/>
    <w:rsid w:val="00D60B8E"/>
    <w:rsid w:val="00D81783"/>
    <w:rsid w:val="00DA2BD7"/>
    <w:rsid w:val="00DC6354"/>
    <w:rsid w:val="00DD49CF"/>
    <w:rsid w:val="00DD694D"/>
    <w:rsid w:val="00DF3D0D"/>
    <w:rsid w:val="00E657DD"/>
    <w:rsid w:val="00E9496B"/>
    <w:rsid w:val="00EB1B01"/>
    <w:rsid w:val="00EC2FBF"/>
    <w:rsid w:val="00EE683C"/>
    <w:rsid w:val="00EF5175"/>
    <w:rsid w:val="00F01BC4"/>
    <w:rsid w:val="00F05509"/>
    <w:rsid w:val="00F336EF"/>
    <w:rsid w:val="00F517C5"/>
    <w:rsid w:val="00F86648"/>
    <w:rsid w:val="00F870DE"/>
    <w:rsid w:val="00F94003"/>
    <w:rsid w:val="00F957FE"/>
    <w:rsid w:val="00F979BA"/>
    <w:rsid w:val="00FC68E4"/>
    <w:rsid w:val="00FF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3123"/>
  <w15:chartTrackingRefBased/>
  <w15:docId w15:val="{46E519EE-7899-4355-9E76-EFADBF64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F0"/>
  </w:style>
  <w:style w:type="paragraph" w:styleId="Heading1">
    <w:name w:val="heading 1"/>
    <w:basedOn w:val="Normal"/>
    <w:next w:val="Normal"/>
    <w:link w:val="Heading1Char"/>
    <w:uiPriority w:val="9"/>
    <w:qFormat/>
    <w:rsid w:val="002B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1A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1A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1A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1A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A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A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A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A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A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A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A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1A82"/>
    <w:rPr>
      <w:i/>
      <w:iCs/>
      <w:color w:val="404040" w:themeColor="text1" w:themeTint="BF"/>
    </w:rPr>
  </w:style>
  <w:style w:type="paragraph" w:styleId="ListParagraph">
    <w:name w:val="List Paragraph"/>
    <w:basedOn w:val="Normal"/>
    <w:uiPriority w:val="34"/>
    <w:qFormat/>
    <w:rsid w:val="002B1A82"/>
    <w:pPr>
      <w:ind w:left="720"/>
      <w:contextualSpacing/>
    </w:pPr>
  </w:style>
  <w:style w:type="character" w:styleId="IntenseEmphasis">
    <w:name w:val="Intense Emphasis"/>
    <w:basedOn w:val="DefaultParagraphFont"/>
    <w:uiPriority w:val="21"/>
    <w:qFormat/>
    <w:rsid w:val="002B1A82"/>
    <w:rPr>
      <w:i/>
      <w:iCs/>
      <w:color w:val="0F4761" w:themeColor="accent1" w:themeShade="BF"/>
    </w:rPr>
  </w:style>
  <w:style w:type="paragraph" w:styleId="IntenseQuote">
    <w:name w:val="Intense Quote"/>
    <w:basedOn w:val="Normal"/>
    <w:next w:val="Normal"/>
    <w:link w:val="IntenseQuoteChar"/>
    <w:uiPriority w:val="30"/>
    <w:qFormat/>
    <w:rsid w:val="002B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82"/>
    <w:rPr>
      <w:i/>
      <w:iCs/>
      <w:color w:val="0F4761" w:themeColor="accent1" w:themeShade="BF"/>
    </w:rPr>
  </w:style>
  <w:style w:type="character" w:styleId="IntenseReference">
    <w:name w:val="Intense Reference"/>
    <w:basedOn w:val="DefaultParagraphFont"/>
    <w:uiPriority w:val="32"/>
    <w:qFormat/>
    <w:rsid w:val="002B1A82"/>
    <w:rPr>
      <w:b/>
      <w:bCs/>
      <w:smallCaps/>
      <w:color w:val="0F4761" w:themeColor="accent1" w:themeShade="BF"/>
      <w:spacing w:val="5"/>
    </w:rPr>
  </w:style>
  <w:style w:type="paragraph" w:styleId="NoSpacing">
    <w:name w:val="No Spacing"/>
    <w:uiPriority w:val="1"/>
    <w:qFormat/>
    <w:rsid w:val="002B1A82"/>
  </w:style>
  <w:style w:type="paragraph" w:styleId="FootnoteText">
    <w:name w:val="footnote text"/>
    <w:basedOn w:val="Normal"/>
    <w:link w:val="FootnoteTextChar"/>
    <w:uiPriority w:val="99"/>
    <w:semiHidden/>
    <w:unhideWhenUsed/>
    <w:rsid w:val="000827E5"/>
    <w:rPr>
      <w:sz w:val="20"/>
      <w:szCs w:val="20"/>
    </w:rPr>
  </w:style>
  <w:style w:type="character" w:customStyle="1" w:styleId="FootnoteTextChar">
    <w:name w:val="Footnote Text Char"/>
    <w:basedOn w:val="DefaultParagraphFont"/>
    <w:link w:val="FootnoteText"/>
    <w:uiPriority w:val="99"/>
    <w:semiHidden/>
    <w:rsid w:val="000827E5"/>
    <w:rPr>
      <w:sz w:val="20"/>
      <w:szCs w:val="20"/>
    </w:rPr>
  </w:style>
  <w:style w:type="character" w:styleId="FootnoteReference">
    <w:name w:val="footnote reference"/>
    <w:basedOn w:val="DefaultParagraphFont"/>
    <w:uiPriority w:val="99"/>
    <w:semiHidden/>
    <w:unhideWhenUsed/>
    <w:rsid w:val="000827E5"/>
    <w:rPr>
      <w:vertAlign w:val="superscript"/>
    </w:rPr>
  </w:style>
  <w:style w:type="character" w:styleId="Hyperlink">
    <w:name w:val="Hyperlink"/>
    <w:basedOn w:val="DefaultParagraphFont"/>
    <w:uiPriority w:val="99"/>
    <w:unhideWhenUsed/>
    <w:rsid w:val="00E657DD"/>
    <w:rPr>
      <w:color w:val="0000FF"/>
      <w:u w:val="single"/>
    </w:rPr>
  </w:style>
  <w:style w:type="paragraph" w:styleId="Header">
    <w:name w:val="header"/>
    <w:basedOn w:val="Normal"/>
    <w:link w:val="HeaderChar"/>
    <w:uiPriority w:val="99"/>
    <w:unhideWhenUsed/>
    <w:rsid w:val="00052A78"/>
    <w:pPr>
      <w:tabs>
        <w:tab w:val="center" w:pos="4513"/>
        <w:tab w:val="right" w:pos="9026"/>
      </w:tabs>
    </w:pPr>
  </w:style>
  <w:style w:type="character" w:customStyle="1" w:styleId="HeaderChar">
    <w:name w:val="Header Char"/>
    <w:basedOn w:val="DefaultParagraphFont"/>
    <w:link w:val="Header"/>
    <w:uiPriority w:val="99"/>
    <w:rsid w:val="00052A78"/>
  </w:style>
  <w:style w:type="paragraph" w:styleId="Footer">
    <w:name w:val="footer"/>
    <w:basedOn w:val="Normal"/>
    <w:link w:val="FooterChar"/>
    <w:uiPriority w:val="99"/>
    <w:unhideWhenUsed/>
    <w:rsid w:val="00052A78"/>
    <w:pPr>
      <w:tabs>
        <w:tab w:val="center" w:pos="4513"/>
        <w:tab w:val="right" w:pos="9026"/>
      </w:tabs>
    </w:pPr>
  </w:style>
  <w:style w:type="character" w:customStyle="1" w:styleId="FooterChar">
    <w:name w:val="Footer Char"/>
    <w:basedOn w:val="DefaultParagraphFont"/>
    <w:link w:val="Footer"/>
    <w:uiPriority w:val="99"/>
    <w:rsid w:val="0005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D271-6F32-4E2B-87D8-F0C07850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Collison</dc:creator>
  <cp:keywords/>
  <dc:description/>
  <cp:lastModifiedBy>Morag Loader</cp:lastModifiedBy>
  <cp:revision>3</cp:revision>
  <cp:lastPrinted>2025-09-25T16:51:00Z</cp:lastPrinted>
  <dcterms:created xsi:type="dcterms:W3CDTF">2025-10-15T08:00:00Z</dcterms:created>
  <dcterms:modified xsi:type="dcterms:W3CDTF">2025-10-15T08:01:00Z</dcterms:modified>
</cp:coreProperties>
</file>